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65B36" w14:textId="77777777" w:rsidR="00FD3D9C" w:rsidRDefault="00FD3D9C" w:rsidP="0097365F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6A5FA31" w14:textId="04C1A728" w:rsidR="000A2A95" w:rsidRPr="0097365F" w:rsidRDefault="002B6CBA" w:rsidP="0097365F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97365F">
        <w:rPr>
          <w:rFonts w:ascii="Century Gothic" w:hAnsi="Century Gothic"/>
          <w:b/>
          <w:bCs/>
          <w:sz w:val="28"/>
          <w:szCs w:val="28"/>
        </w:rPr>
        <w:t>REGOLAMENTO DI ORGANIZZAZIONE DEL CAMPIONATO</w:t>
      </w:r>
      <w:r w:rsidR="00B2701F" w:rsidRPr="0097365F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7365F">
        <w:rPr>
          <w:rFonts w:ascii="Century Gothic" w:hAnsi="Century Gothic"/>
          <w:b/>
          <w:bCs/>
          <w:sz w:val="28"/>
          <w:szCs w:val="28"/>
        </w:rPr>
        <w:t>GIOVANISSIMI UNDER 14</w:t>
      </w:r>
      <w:r w:rsidR="0097365F" w:rsidRPr="0097365F">
        <w:rPr>
          <w:rFonts w:ascii="Century Gothic" w:hAnsi="Century Gothic"/>
          <w:b/>
          <w:bCs/>
          <w:sz w:val="28"/>
          <w:szCs w:val="28"/>
        </w:rPr>
        <w:t xml:space="preserve"> A 11</w:t>
      </w:r>
      <w:r w:rsidRPr="0097365F">
        <w:rPr>
          <w:rFonts w:ascii="Century Gothic" w:hAnsi="Century Gothic"/>
          <w:b/>
          <w:bCs/>
          <w:sz w:val="28"/>
          <w:szCs w:val="28"/>
        </w:rPr>
        <w:t xml:space="preserve"> PROVINCIALE</w:t>
      </w:r>
      <w:r w:rsidR="0097365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0A2A95" w:rsidRPr="0097365F">
        <w:rPr>
          <w:rFonts w:ascii="Century Gothic" w:hAnsi="Century Gothic"/>
          <w:b/>
          <w:bCs/>
          <w:sz w:val="28"/>
          <w:szCs w:val="28"/>
        </w:rPr>
        <w:t>DELEGAZIONE DI RAVENNA</w:t>
      </w:r>
    </w:p>
    <w:p w14:paraId="30D048E9" w14:textId="5D40FD44" w:rsidR="002B6CBA" w:rsidRPr="0097365F" w:rsidRDefault="002B6CBA" w:rsidP="0097365F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>Stagione Sportiva 202</w:t>
      </w:r>
      <w:r w:rsidR="004C7AF9">
        <w:rPr>
          <w:rFonts w:ascii="Century Gothic" w:hAnsi="Century Gothic"/>
          <w:b/>
          <w:bCs/>
        </w:rPr>
        <w:t>4</w:t>
      </w:r>
      <w:r w:rsidRPr="0097365F">
        <w:rPr>
          <w:rFonts w:ascii="Century Gothic" w:hAnsi="Century Gothic"/>
          <w:b/>
          <w:bCs/>
        </w:rPr>
        <w:t>/202</w:t>
      </w:r>
      <w:r w:rsidR="004C7AF9">
        <w:rPr>
          <w:rFonts w:ascii="Century Gothic" w:hAnsi="Century Gothic"/>
          <w:b/>
          <w:bCs/>
        </w:rPr>
        <w:t>5</w:t>
      </w:r>
    </w:p>
    <w:p w14:paraId="2341A207" w14:textId="27F1AC3A" w:rsidR="00FD3D9C" w:rsidRDefault="00FD3D9C" w:rsidP="00B2701F">
      <w:pPr>
        <w:jc w:val="center"/>
        <w:rPr>
          <w:rFonts w:ascii="Century Gothic" w:hAnsi="Century Gothic"/>
          <w:b/>
          <w:bCs/>
        </w:rPr>
      </w:pPr>
    </w:p>
    <w:p w14:paraId="7D69040F" w14:textId="77777777" w:rsidR="00FD3D9C" w:rsidRPr="0097365F" w:rsidRDefault="00FD3D9C" w:rsidP="00B2701F">
      <w:pPr>
        <w:jc w:val="center"/>
        <w:rPr>
          <w:rFonts w:ascii="Century Gothic" w:hAnsi="Century Gothic"/>
          <w:b/>
          <w:bCs/>
        </w:rPr>
      </w:pPr>
    </w:p>
    <w:p w14:paraId="62760BE6" w14:textId="77777777" w:rsidR="002B6CBA" w:rsidRPr="0097365F" w:rsidRDefault="002B6CBA" w:rsidP="002B6CBA">
      <w:pPr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>Art. 1 – Oggetto del Regolamento</w:t>
      </w:r>
    </w:p>
    <w:p w14:paraId="729AB9E5" w14:textId="5DDEA441" w:rsidR="00FD3D9C" w:rsidRDefault="00B2701F" w:rsidP="0097365F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I</w:t>
      </w:r>
      <w:r w:rsidR="002B6CBA" w:rsidRPr="0097365F">
        <w:rPr>
          <w:rFonts w:ascii="Century Gothic" w:hAnsi="Century Gothic"/>
        </w:rPr>
        <w:t>l presente Regolamento disciplina l’organizzazione, per la stagione sportiva 202</w:t>
      </w:r>
      <w:r w:rsidR="004C7AF9">
        <w:rPr>
          <w:rFonts w:ascii="Century Gothic" w:hAnsi="Century Gothic"/>
        </w:rPr>
        <w:t>4</w:t>
      </w:r>
      <w:r w:rsidR="002B6CBA" w:rsidRPr="0097365F">
        <w:rPr>
          <w:rFonts w:ascii="Century Gothic" w:hAnsi="Century Gothic"/>
        </w:rPr>
        <w:t>/202</w:t>
      </w:r>
      <w:r w:rsidR="004C7AF9">
        <w:rPr>
          <w:rFonts w:ascii="Century Gothic" w:hAnsi="Century Gothic"/>
        </w:rPr>
        <w:t>5</w:t>
      </w:r>
      <w:r w:rsidR="002B6CBA" w:rsidRPr="0097365F">
        <w:rPr>
          <w:rFonts w:ascii="Century Gothic" w:hAnsi="Century Gothic"/>
        </w:rPr>
        <w:t>, del Campionato della Categoria Giovanissimi UNDER 14 PROVINCIALE</w:t>
      </w:r>
      <w:r w:rsidR="00667109" w:rsidRPr="0097365F">
        <w:rPr>
          <w:rFonts w:ascii="Century Gothic" w:hAnsi="Century Gothic"/>
        </w:rPr>
        <w:t>.</w:t>
      </w:r>
    </w:p>
    <w:p w14:paraId="3C1B6D41" w14:textId="77777777" w:rsidR="00DE0C5A" w:rsidRPr="00DE0C5A" w:rsidRDefault="00DE0C5A" w:rsidP="0097365F">
      <w:pPr>
        <w:jc w:val="both"/>
        <w:rPr>
          <w:rFonts w:ascii="Century Gothic" w:hAnsi="Century Gothic"/>
        </w:rPr>
      </w:pPr>
    </w:p>
    <w:p w14:paraId="29F50711" w14:textId="77577E71" w:rsidR="000A2A95" w:rsidRPr="0097365F" w:rsidRDefault="002B6CBA" w:rsidP="0097365F">
      <w:pPr>
        <w:jc w:val="both"/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>Art. 2 – Limiti di età per la partecipazione al Campionato Giovanissimi UNDER 14</w:t>
      </w:r>
      <w:r w:rsidR="0097365F">
        <w:rPr>
          <w:rFonts w:ascii="Century Gothic" w:hAnsi="Century Gothic"/>
          <w:b/>
          <w:bCs/>
        </w:rPr>
        <w:t xml:space="preserve"> A 11 </w:t>
      </w:r>
      <w:r w:rsidRPr="0097365F">
        <w:rPr>
          <w:rFonts w:ascii="Century Gothic" w:hAnsi="Century Gothic"/>
          <w:b/>
          <w:bCs/>
        </w:rPr>
        <w:t>PROVINCIALE</w:t>
      </w:r>
      <w:r w:rsidR="000A2A95" w:rsidRPr="0097365F">
        <w:rPr>
          <w:rFonts w:ascii="Century Gothic" w:hAnsi="Century Gothic"/>
          <w:b/>
          <w:bCs/>
        </w:rPr>
        <w:t xml:space="preserve"> DI RAVENNA</w:t>
      </w:r>
    </w:p>
    <w:p w14:paraId="36F888BC" w14:textId="4EB0DEDC" w:rsidR="00171182" w:rsidRPr="0097365F" w:rsidRDefault="00171182" w:rsidP="00171182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Possono partecipare all’attività UNDER 14 i calciatori che, anteriormente al 1° gennaio dell’anno in cui ha inizio la stagione sportiva, abbiano compiuto anagraficamente il 12^ anno di età e che, nel medesimo periodo, non abbiano compiuto il 13^ (nati nel 20</w:t>
      </w:r>
      <w:r w:rsidR="003C1BFB">
        <w:rPr>
          <w:rFonts w:ascii="Century Gothic" w:hAnsi="Century Gothic"/>
        </w:rPr>
        <w:t>1</w:t>
      </w:r>
      <w:r w:rsidR="004C7AF9">
        <w:rPr>
          <w:rFonts w:ascii="Century Gothic" w:hAnsi="Century Gothic"/>
        </w:rPr>
        <w:t>1</w:t>
      </w:r>
      <w:r w:rsidRPr="0097365F">
        <w:rPr>
          <w:rFonts w:ascii="Century Gothic" w:hAnsi="Century Gothic"/>
        </w:rPr>
        <w:t>). Qualora fosse necessario, possono partecipare all’attività coloro che abbiano compiuto il 12° anno di età nel corso dell’anno in cui ha inizio la stagione sportiva (ovvero nati nel 201</w:t>
      </w:r>
      <w:r w:rsidR="004C7AF9">
        <w:rPr>
          <w:rFonts w:ascii="Century Gothic" w:hAnsi="Century Gothic"/>
        </w:rPr>
        <w:t>2</w:t>
      </w:r>
      <w:r w:rsidRPr="0097365F">
        <w:rPr>
          <w:rFonts w:ascii="Century Gothic" w:hAnsi="Century Gothic"/>
        </w:rPr>
        <w:t xml:space="preserve">, dopo il compimento del 12° anno di età), limitatamente ad un </w:t>
      </w:r>
      <w:r w:rsidRPr="0097365F">
        <w:rPr>
          <w:rFonts w:ascii="Century Gothic" w:hAnsi="Century Gothic"/>
          <w:b/>
          <w:bCs/>
        </w:rPr>
        <w:t xml:space="preserve">numero massimo di 5 </w:t>
      </w:r>
      <w:r w:rsidR="00565EC0" w:rsidRPr="0097365F">
        <w:rPr>
          <w:rFonts w:ascii="Century Gothic" w:hAnsi="Century Gothic"/>
          <w:b/>
          <w:bCs/>
        </w:rPr>
        <w:t>calciatori</w:t>
      </w:r>
      <w:r w:rsidR="00565EC0" w:rsidRPr="0097365F">
        <w:rPr>
          <w:rFonts w:ascii="Century Gothic" w:hAnsi="Century Gothic"/>
        </w:rPr>
        <w:t>, salvo</w:t>
      </w:r>
      <w:r w:rsidRPr="0097365F">
        <w:rPr>
          <w:rFonts w:ascii="Century Gothic" w:hAnsi="Century Gothic"/>
        </w:rPr>
        <w:t xml:space="preserve"> deroghe da parte degli organi preposti.</w:t>
      </w:r>
    </w:p>
    <w:p w14:paraId="77A26571" w14:textId="49E09FC0" w:rsidR="00692D47" w:rsidRPr="0097365F" w:rsidRDefault="00692D47" w:rsidP="00171182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Non possono partecipare i calciatori nati nel 201</w:t>
      </w:r>
      <w:r w:rsidR="004C7AF9">
        <w:rPr>
          <w:rFonts w:ascii="Century Gothic" w:hAnsi="Century Gothic"/>
        </w:rPr>
        <w:t>3</w:t>
      </w:r>
      <w:r w:rsidRPr="0097365F">
        <w:rPr>
          <w:rFonts w:ascii="Century Gothic" w:hAnsi="Century Gothic"/>
        </w:rPr>
        <w:t>, nemmeno dopo il compimento del 12° anno di età.</w:t>
      </w:r>
    </w:p>
    <w:p w14:paraId="2DC846F9" w14:textId="77777777" w:rsidR="00FD3D9C" w:rsidRDefault="00FD3D9C" w:rsidP="002B6CBA">
      <w:pPr>
        <w:rPr>
          <w:rFonts w:ascii="Century Gothic" w:hAnsi="Century Gothic"/>
          <w:b/>
          <w:bCs/>
        </w:rPr>
      </w:pPr>
    </w:p>
    <w:p w14:paraId="2C1A9564" w14:textId="40CDAF3B" w:rsidR="002B6CBA" w:rsidRPr="0097365F" w:rsidRDefault="002B6CBA" w:rsidP="002B6CBA">
      <w:pPr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>Art. 3 – Articolazione del Campionato Giovanissimi</w:t>
      </w:r>
      <w:r w:rsidR="00A6082F" w:rsidRPr="0097365F">
        <w:rPr>
          <w:rFonts w:ascii="Century Gothic" w:hAnsi="Century Gothic"/>
          <w:b/>
          <w:bCs/>
        </w:rPr>
        <w:t xml:space="preserve"> UNDER 14</w:t>
      </w:r>
      <w:r w:rsidR="0097365F">
        <w:rPr>
          <w:rFonts w:ascii="Century Gothic" w:hAnsi="Century Gothic"/>
          <w:b/>
          <w:bCs/>
        </w:rPr>
        <w:t xml:space="preserve"> A 11</w:t>
      </w:r>
      <w:r w:rsidR="00A6082F" w:rsidRPr="0097365F">
        <w:rPr>
          <w:rFonts w:ascii="Century Gothic" w:hAnsi="Century Gothic"/>
          <w:b/>
          <w:bCs/>
        </w:rPr>
        <w:t xml:space="preserve"> PROVINCI</w:t>
      </w:r>
      <w:r w:rsidR="0097365F">
        <w:rPr>
          <w:rFonts w:ascii="Century Gothic" w:hAnsi="Century Gothic"/>
          <w:b/>
          <w:bCs/>
        </w:rPr>
        <w:t>ALE</w:t>
      </w:r>
    </w:p>
    <w:p w14:paraId="12E1E231" w14:textId="42B21565" w:rsidR="002B6CBA" w:rsidRPr="0097365F" w:rsidRDefault="002B6CBA" w:rsidP="00B2701F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 xml:space="preserve">I Campionati sono organizzati e gestiti dalla Delegazione di </w:t>
      </w:r>
      <w:r w:rsidR="000A2A95" w:rsidRPr="0097365F">
        <w:rPr>
          <w:rFonts w:ascii="Century Gothic" w:hAnsi="Century Gothic"/>
        </w:rPr>
        <w:t>Ravenna</w:t>
      </w:r>
    </w:p>
    <w:p w14:paraId="7EAF2280" w14:textId="0D1E2D97" w:rsidR="003B5D8A" w:rsidRPr="0097365F" w:rsidRDefault="002B6CBA" w:rsidP="003B5D8A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L’organico del Campionato GIOVANISSIMI UNDER 14 è di</w:t>
      </w:r>
      <w:r w:rsidR="000A2A95" w:rsidRPr="0097365F">
        <w:rPr>
          <w:rFonts w:ascii="Century Gothic" w:hAnsi="Century Gothic"/>
        </w:rPr>
        <w:t xml:space="preserve"> 2</w:t>
      </w:r>
      <w:r w:rsidR="00DE0C5A">
        <w:rPr>
          <w:rFonts w:ascii="Century Gothic" w:hAnsi="Century Gothic"/>
        </w:rPr>
        <w:t>2</w:t>
      </w:r>
      <w:r w:rsidR="000A2A95" w:rsidRPr="0097365F">
        <w:rPr>
          <w:rFonts w:ascii="Century Gothic" w:hAnsi="Century Gothic"/>
        </w:rPr>
        <w:t xml:space="preserve"> </w:t>
      </w:r>
      <w:r w:rsidRPr="0097365F">
        <w:rPr>
          <w:rFonts w:ascii="Century Gothic" w:hAnsi="Century Gothic"/>
        </w:rPr>
        <w:t xml:space="preserve">squadre così suddiviso: </w:t>
      </w:r>
    </w:p>
    <w:p w14:paraId="69EBBF8A" w14:textId="0450AB28" w:rsidR="000A2A95" w:rsidRPr="0097365F" w:rsidRDefault="000A2A95" w:rsidP="000A2A95">
      <w:pPr>
        <w:pStyle w:val="Paragrafoelenco"/>
        <w:numPr>
          <w:ilvl w:val="0"/>
          <w:numId w:val="4"/>
        </w:numPr>
        <w:ind w:left="426" w:hanging="426"/>
        <w:jc w:val="both"/>
        <w:rPr>
          <w:rFonts w:ascii="Century Gothic" w:hAnsi="Century Gothic"/>
          <w:b/>
          <w:bCs/>
          <w:u w:val="single"/>
        </w:rPr>
      </w:pPr>
      <w:r w:rsidRPr="0097365F">
        <w:rPr>
          <w:rFonts w:ascii="Century Gothic" w:hAnsi="Century Gothic"/>
          <w:b/>
          <w:bCs/>
          <w:u w:val="single"/>
        </w:rPr>
        <w:t>Girone A composto da 1</w:t>
      </w:r>
      <w:r w:rsidR="004C7AF9">
        <w:rPr>
          <w:rFonts w:ascii="Century Gothic" w:hAnsi="Century Gothic"/>
          <w:b/>
          <w:bCs/>
          <w:u w:val="single"/>
        </w:rPr>
        <w:t>1</w:t>
      </w:r>
      <w:r w:rsidRPr="0097365F">
        <w:rPr>
          <w:rFonts w:ascii="Century Gothic" w:hAnsi="Century Gothic"/>
          <w:b/>
          <w:bCs/>
          <w:u w:val="single"/>
        </w:rPr>
        <w:t xml:space="preserve"> squadre con andata e ritorno</w:t>
      </w:r>
    </w:p>
    <w:p w14:paraId="72B897E6" w14:textId="3B3869A9" w:rsidR="002B6CBA" w:rsidRPr="0097365F" w:rsidRDefault="000A2A95" w:rsidP="00C51C31">
      <w:pPr>
        <w:pStyle w:val="Paragrafoelenco"/>
        <w:numPr>
          <w:ilvl w:val="0"/>
          <w:numId w:val="4"/>
        </w:numPr>
        <w:ind w:left="426" w:hanging="426"/>
        <w:jc w:val="both"/>
        <w:rPr>
          <w:rFonts w:ascii="Century Gothic" w:hAnsi="Century Gothic"/>
          <w:b/>
          <w:bCs/>
          <w:u w:val="single"/>
        </w:rPr>
      </w:pPr>
      <w:r w:rsidRPr="0097365F">
        <w:rPr>
          <w:rFonts w:ascii="Century Gothic" w:hAnsi="Century Gothic"/>
          <w:b/>
          <w:bCs/>
          <w:u w:val="single"/>
        </w:rPr>
        <w:t>Girone B composto da 1</w:t>
      </w:r>
      <w:r w:rsidR="004C7AF9">
        <w:rPr>
          <w:rFonts w:ascii="Century Gothic" w:hAnsi="Century Gothic"/>
          <w:b/>
          <w:bCs/>
          <w:u w:val="single"/>
        </w:rPr>
        <w:t>1</w:t>
      </w:r>
      <w:r w:rsidRPr="0097365F">
        <w:rPr>
          <w:rFonts w:ascii="Century Gothic" w:hAnsi="Century Gothic"/>
          <w:b/>
          <w:bCs/>
          <w:u w:val="single"/>
        </w:rPr>
        <w:t xml:space="preserve"> squadre con andata e ritorno</w:t>
      </w:r>
      <w:r w:rsidRPr="0097365F">
        <w:rPr>
          <w:rFonts w:ascii="Century Gothic" w:hAnsi="Century Gothic"/>
        </w:rPr>
        <w:t xml:space="preserve"> </w:t>
      </w:r>
    </w:p>
    <w:p w14:paraId="43445C81" w14:textId="4FDD1751" w:rsidR="00806EFD" w:rsidRPr="0097365F" w:rsidRDefault="00806EFD" w:rsidP="00806EFD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La Delegazione si riserva l’organizzazione di una “Coppa Invern</w:t>
      </w:r>
      <w:r w:rsidR="005D1EB8" w:rsidRPr="0097365F">
        <w:rPr>
          <w:rFonts w:ascii="Century Gothic" w:hAnsi="Century Gothic"/>
        </w:rPr>
        <w:t>o</w:t>
      </w:r>
      <w:r w:rsidRPr="0097365F">
        <w:rPr>
          <w:rFonts w:ascii="Century Gothic" w:hAnsi="Century Gothic"/>
        </w:rPr>
        <w:t>” che coinvolgerà tutte le società iscritte e non, da effettuarsi durante la pausa prevista</w:t>
      </w:r>
      <w:r w:rsidR="001932BC" w:rsidRPr="0097365F">
        <w:rPr>
          <w:rFonts w:ascii="Century Gothic" w:hAnsi="Century Gothic"/>
        </w:rPr>
        <w:t xml:space="preserve"> tra i gironi di andata e ritorno</w:t>
      </w:r>
      <w:r w:rsidRPr="0097365F">
        <w:rPr>
          <w:rFonts w:ascii="Century Gothic" w:hAnsi="Century Gothic"/>
        </w:rPr>
        <w:t>. La formula verrà definita in base al numero delle squadre partecipanti.</w:t>
      </w:r>
    </w:p>
    <w:p w14:paraId="2D8C0988" w14:textId="6A3EA822" w:rsidR="00806EFD" w:rsidRPr="0097365F" w:rsidRDefault="00806EFD" w:rsidP="00806EFD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La Delegazione si riserva l’organizzazione di una “Coppa Primaver</w:t>
      </w:r>
      <w:r w:rsidR="00FD2CAE" w:rsidRPr="0097365F">
        <w:rPr>
          <w:rFonts w:ascii="Century Gothic" w:hAnsi="Century Gothic"/>
        </w:rPr>
        <w:t>a</w:t>
      </w:r>
      <w:r w:rsidRPr="0097365F">
        <w:rPr>
          <w:rFonts w:ascii="Century Gothic" w:hAnsi="Century Gothic"/>
        </w:rPr>
        <w:t>” che coinvolgerà tutte le società non qualificate alla fase finale, da effettuarsi al termine dei gironi di ritorno. La formula verrà definita in base al numero delle squadre partecipanti.</w:t>
      </w:r>
    </w:p>
    <w:p w14:paraId="5D7D5991" w14:textId="4DDD6AA9" w:rsidR="006D681E" w:rsidRDefault="006D681E" w:rsidP="004A7F2E">
      <w:pPr>
        <w:jc w:val="both"/>
        <w:rPr>
          <w:rFonts w:ascii="Century Gothic" w:hAnsi="Century Gothic"/>
          <w:bCs/>
          <w:u w:val="single"/>
        </w:rPr>
      </w:pPr>
      <w:r w:rsidRPr="004C7AF9">
        <w:rPr>
          <w:rFonts w:ascii="Century Gothic" w:hAnsi="Century Gothic"/>
          <w:bCs/>
          <w:u w:val="single"/>
        </w:rPr>
        <w:t>Le 2 squadre finaliste e la vincitrice della finale 3° posto saranno ammesse a partecipare al Campionato Under 15 Regionale 202</w:t>
      </w:r>
      <w:r w:rsidR="004C7AF9" w:rsidRPr="004C7AF9">
        <w:rPr>
          <w:rFonts w:ascii="Century Gothic" w:hAnsi="Century Gothic"/>
          <w:bCs/>
          <w:u w:val="single"/>
        </w:rPr>
        <w:t>5</w:t>
      </w:r>
      <w:r w:rsidRPr="004C7AF9">
        <w:rPr>
          <w:rFonts w:ascii="Century Gothic" w:hAnsi="Century Gothic"/>
          <w:bCs/>
          <w:u w:val="single"/>
        </w:rPr>
        <w:t>/202</w:t>
      </w:r>
      <w:r w:rsidR="004C7AF9" w:rsidRPr="004C7AF9">
        <w:rPr>
          <w:rFonts w:ascii="Century Gothic" w:hAnsi="Century Gothic"/>
          <w:bCs/>
          <w:u w:val="single"/>
        </w:rPr>
        <w:t>6</w:t>
      </w:r>
      <w:r w:rsidRPr="004C7AF9">
        <w:rPr>
          <w:rFonts w:ascii="Century Gothic" w:hAnsi="Century Gothic"/>
          <w:bCs/>
          <w:u w:val="single"/>
        </w:rPr>
        <w:t>, salvo eventuali esclusioni e/o preclusioni previste dal SGS</w:t>
      </w:r>
      <w:r w:rsidR="00DE0C5A">
        <w:rPr>
          <w:rFonts w:ascii="Century Gothic" w:hAnsi="Century Gothic"/>
          <w:bCs/>
          <w:u w:val="single"/>
        </w:rPr>
        <w:t xml:space="preserve"> e/o dal C.R.E.R.</w:t>
      </w:r>
    </w:p>
    <w:p w14:paraId="5534C604" w14:textId="2D3495F0" w:rsidR="00DE0C5A" w:rsidRPr="004C7AF9" w:rsidRDefault="00DE0C5A" w:rsidP="004A7F2E">
      <w:pPr>
        <w:jc w:val="both"/>
        <w:rPr>
          <w:rFonts w:ascii="Century Gothic" w:hAnsi="Century Gothic"/>
          <w:bCs/>
          <w:u w:val="single"/>
        </w:rPr>
      </w:pPr>
      <w:r>
        <w:rPr>
          <w:rFonts w:ascii="Century Gothic" w:hAnsi="Century Gothic"/>
          <w:bCs/>
          <w:u w:val="single"/>
        </w:rPr>
        <w:t>Le stesse parteciperanno alla fase finale regionale 2024/2025.</w:t>
      </w:r>
    </w:p>
    <w:p w14:paraId="07BB6DFD" w14:textId="77777777" w:rsidR="002B6CBA" w:rsidRPr="0097365F" w:rsidRDefault="002B6CBA" w:rsidP="002B6CBA">
      <w:pPr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>Art. 4 Sostituzione dei calciatori</w:t>
      </w:r>
    </w:p>
    <w:p w14:paraId="3EAD5F13" w14:textId="5568F2A0" w:rsidR="00FD3D9C" w:rsidRDefault="002B6CBA" w:rsidP="00B2701F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Le Società, nel corso delle gare ufficiali del Settore Giovanile e Scolastico, hanno la facoltà di sostituire sette (7) calciatori indipendentemente dal ruolo ricoperto</w:t>
      </w:r>
      <w:r w:rsidR="00692D47" w:rsidRPr="0097365F">
        <w:rPr>
          <w:rFonts w:ascii="Century Gothic" w:hAnsi="Century Gothic"/>
        </w:rPr>
        <w:t xml:space="preserve"> e senza limitazioni al numero di interruzioni della partita previste per l’effettuazione delle sostituzioni.</w:t>
      </w:r>
    </w:p>
    <w:p w14:paraId="42887B7E" w14:textId="34DA8858" w:rsidR="002B6CBA" w:rsidRPr="0097365F" w:rsidRDefault="002B6CBA" w:rsidP="00B2701F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Ferme restando le disposizioni di cui alle Norme Organizzative Interne della FIGC, si stabiliscono le seguenti modalità per la sostituzione:</w:t>
      </w:r>
    </w:p>
    <w:p w14:paraId="08F67016" w14:textId="77777777" w:rsidR="002B6CBA" w:rsidRPr="0097365F" w:rsidRDefault="002B6CBA" w:rsidP="00B2701F">
      <w:pPr>
        <w:pStyle w:val="Paragrafoelenco"/>
        <w:numPr>
          <w:ilvl w:val="0"/>
          <w:numId w:val="1"/>
        </w:numPr>
        <w:ind w:left="426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lastRenderedPageBreak/>
        <w:t>nella distinta che viene presentata all’arbitro prima dell’inizio della gara possono essere indicati non più di nove (9) calciatori di riserva compreso il giocatore incaricato</w:t>
      </w:r>
      <w:r w:rsidR="00B2701F" w:rsidRPr="0097365F">
        <w:rPr>
          <w:rFonts w:ascii="Century Gothic" w:hAnsi="Century Gothic"/>
        </w:rPr>
        <w:t xml:space="preserve"> </w:t>
      </w:r>
      <w:r w:rsidRPr="0097365F">
        <w:rPr>
          <w:rFonts w:ascii="Century Gothic" w:hAnsi="Century Gothic"/>
        </w:rPr>
        <w:t>di svolgere funzioni di assistente di parte, nel caso in cui è previsto il suo utilizzo durante la gara;</w:t>
      </w:r>
    </w:p>
    <w:p w14:paraId="7136B143" w14:textId="77777777" w:rsidR="002B6CBA" w:rsidRPr="0097365F" w:rsidRDefault="002B6CBA" w:rsidP="00B2701F">
      <w:pPr>
        <w:pStyle w:val="Paragrafoelenco"/>
        <w:numPr>
          <w:ilvl w:val="0"/>
          <w:numId w:val="1"/>
        </w:numPr>
        <w:ind w:left="426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soltanto i calciatori inseriti nella distinta di gara, indipendentemente dalla funzione ricoperta (calciatore di riserva o assistente di parte), possono sostituire i calciatori impiegati all’inizio della gara nel rispetto delle modalità illustrate nel paragrafo specifico, fermo restando il limite delle sette (7) sostituzioni.</w:t>
      </w:r>
    </w:p>
    <w:p w14:paraId="5CB652BC" w14:textId="70A4494D" w:rsidR="00FD3D9C" w:rsidRPr="0046299B" w:rsidRDefault="002B6CBA" w:rsidP="0046299B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L’inosservanza di tale disposizione comporta l’applicazione della sanzione della perdita della gara con il risultato di 0-3 o con quello eventualmente conseguito sul campo dalla squadra avversaria, se migliore agli effetti della differenza reti.</w:t>
      </w:r>
    </w:p>
    <w:p w14:paraId="3271D79F" w14:textId="1C254434" w:rsidR="002B6CBA" w:rsidRPr="0097365F" w:rsidRDefault="002B6CBA" w:rsidP="002B6CBA">
      <w:pPr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 xml:space="preserve">Art. </w:t>
      </w:r>
      <w:r w:rsidR="003B5D8A" w:rsidRPr="0097365F">
        <w:rPr>
          <w:rFonts w:ascii="Century Gothic" w:hAnsi="Century Gothic"/>
          <w:b/>
          <w:bCs/>
        </w:rPr>
        <w:t>5 La</w:t>
      </w:r>
      <w:r w:rsidRPr="0097365F">
        <w:rPr>
          <w:rFonts w:ascii="Century Gothic" w:hAnsi="Century Gothic"/>
          <w:b/>
          <w:bCs/>
        </w:rPr>
        <w:t xml:space="preserve"> disputa delle gare</w:t>
      </w:r>
    </w:p>
    <w:p w14:paraId="5469AD8D" w14:textId="1B8834B1" w:rsidR="002B6CBA" w:rsidRPr="0097365F" w:rsidRDefault="002B6CBA" w:rsidP="00DE0C5A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1. La sessione ordinaria de</w:t>
      </w:r>
      <w:r w:rsidR="00B20D63" w:rsidRPr="0097365F">
        <w:rPr>
          <w:rFonts w:ascii="Century Gothic" w:hAnsi="Century Gothic"/>
        </w:rPr>
        <w:t>l</w:t>
      </w:r>
      <w:r w:rsidRPr="0097365F">
        <w:rPr>
          <w:rFonts w:ascii="Century Gothic" w:hAnsi="Century Gothic"/>
        </w:rPr>
        <w:t xml:space="preserve"> Campionat</w:t>
      </w:r>
      <w:r w:rsidR="00B20D63" w:rsidRPr="0097365F">
        <w:rPr>
          <w:rFonts w:ascii="Century Gothic" w:hAnsi="Century Gothic"/>
        </w:rPr>
        <w:t>o</w:t>
      </w:r>
      <w:r w:rsidRPr="0097365F">
        <w:rPr>
          <w:rFonts w:ascii="Century Gothic" w:hAnsi="Century Gothic"/>
        </w:rPr>
        <w:t xml:space="preserve"> si svolge con gare di andata/ritorno; tempi di gioco 2 x 35 minuti.</w:t>
      </w:r>
    </w:p>
    <w:p w14:paraId="7533DC4D" w14:textId="4A262085" w:rsidR="002B6CBA" w:rsidRPr="0097365F" w:rsidRDefault="002B6CBA" w:rsidP="003B5D8A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 xml:space="preserve">2. </w:t>
      </w:r>
      <w:r w:rsidR="00DE0C5A">
        <w:rPr>
          <w:rFonts w:ascii="Century Gothic" w:hAnsi="Century Gothic"/>
        </w:rPr>
        <w:t>Salvo quanto di seguito previsto al punto 3 per il primo posto in classifica, i</w:t>
      </w:r>
      <w:r w:rsidRPr="0097365F">
        <w:rPr>
          <w:rFonts w:ascii="Century Gothic" w:hAnsi="Century Gothic"/>
        </w:rPr>
        <w:t>n caso di parità di punteggio fra due o più squadre al termine de</w:t>
      </w:r>
      <w:r w:rsidR="00A6082F" w:rsidRPr="0097365F">
        <w:rPr>
          <w:rFonts w:ascii="Century Gothic" w:hAnsi="Century Gothic"/>
        </w:rPr>
        <w:t>l</w:t>
      </w:r>
      <w:r w:rsidRPr="0097365F">
        <w:rPr>
          <w:rFonts w:ascii="Century Gothic" w:hAnsi="Century Gothic"/>
        </w:rPr>
        <w:t xml:space="preserve"> </w:t>
      </w:r>
      <w:r w:rsidR="00DE0C5A">
        <w:rPr>
          <w:rFonts w:ascii="Century Gothic" w:hAnsi="Century Gothic"/>
        </w:rPr>
        <w:t xml:space="preserve">girone, </w:t>
      </w:r>
      <w:r w:rsidRPr="0097365F">
        <w:rPr>
          <w:rFonts w:ascii="Century Gothic" w:hAnsi="Century Gothic"/>
        </w:rPr>
        <w:t xml:space="preserve">per la compilazione delle relative classifiche dei gironi si </w:t>
      </w:r>
      <w:r w:rsidR="00A6082F" w:rsidRPr="0097365F">
        <w:rPr>
          <w:rFonts w:ascii="Century Gothic" w:hAnsi="Century Gothic"/>
        </w:rPr>
        <w:t xml:space="preserve">si applicheranno le disposizioni di cui all’art. 51 NOIF. Pertanto si procederà senza la disputa di ulteriori gare, attraverso la compilazione di una graduatoria (c.d. classifica avulsa) fra le squadre interessate, </w:t>
      </w:r>
      <w:r w:rsidRPr="0097365F">
        <w:rPr>
          <w:rFonts w:ascii="Century Gothic" w:hAnsi="Century Gothic"/>
        </w:rPr>
        <w:t>tenendo conto nell’ordine:</w:t>
      </w:r>
    </w:p>
    <w:p w14:paraId="61976D42" w14:textId="77777777" w:rsidR="002B6CBA" w:rsidRPr="0097365F" w:rsidRDefault="002B6CBA" w:rsidP="003B5D8A">
      <w:pPr>
        <w:pStyle w:val="Paragrafoelenco"/>
        <w:numPr>
          <w:ilvl w:val="0"/>
          <w:numId w:val="5"/>
        </w:numPr>
        <w:ind w:left="567" w:hanging="567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dei punti conseguiti negli incontri diretti fra le squadre interessate;</w:t>
      </w:r>
    </w:p>
    <w:p w14:paraId="09475D6A" w14:textId="77777777" w:rsidR="002B6CBA" w:rsidRPr="0097365F" w:rsidRDefault="002B6CBA" w:rsidP="003B5D8A">
      <w:pPr>
        <w:pStyle w:val="Paragrafoelenco"/>
        <w:numPr>
          <w:ilvl w:val="0"/>
          <w:numId w:val="5"/>
        </w:numPr>
        <w:ind w:left="567" w:hanging="567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della differenza tra reti segnate e subite nei medesimi incontri;</w:t>
      </w:r>
    </w:p>
    <w:p w14:paraId="11D75638" w14:textId="77777777" w:rsidR="002B6CBA" w:rsidRPr="0097365F" w:rsidRDefault="002B6CBA" w:rsidP="003B5D8A">
      <w:pPr>
        <w:pStyle w:val="Paragrafoelenco"/>
        <w:numPr>
          <w:ilvl w:val="0"/>
          <w:numId w:val="5"/>
        </w:numPr>
        <w:ind w:left="567" w:hanging="567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della differenza tra reti segnate e subite nell’intera fase;</w:t>
      </w:r>
    </w:p>
    <w:p w14:paraId="0D136A5A" w14:textId="77777777" w:rsidR="002B6CBA" w:rsidRPr="0097365F" w:rsidRDefault="002B6CBA" w:rsidP="003B5D8A">
      <w:pPr>
        <w:pStyle w:val="Paragrafoelenco"/>
        <w:numPr>
          <w:ilvl w:val="0"/>
          <w:numId w:val="5"/>
        </w:numPr>
        <w:ind w:left="567" w:hanging="567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del maggior numero di reti segnate nell’intera fase;</w:t>
      </w:r>
    </w:p>
    <w:p w14:paraId="3CE3C787" w14:textId="1DDB4715" w:rsidR="002B6CBA" w:rsidRDefault="002B6CBA" w:rsidP="003B5D8A">
      <w:pPr>
        <w:pStyle w:val="Paragrafoelenco"/>
        <w:numPr>
          <w:ilvl w:val="0"/>
          <w:numId w:val="5"/>
        </w:numPr>
        <w:ind w:left="567" w:hanging="567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 xml:space="preserve">del sorteggio a cura della Delegazione di </w:t>
      </w:r>
      <w:r w:rsidR="008F2CDA">
        <w:rPr>
          <w:rFonts w:ascii="Century Gothic" w:hAnsi="Century Gothic"/>
        </w:rPr>
        <w:t>Ravenna</w:t>
      </w:r>
      <w:r w:rsidRPr="0097365F">
        <w:rPr>
          <w:rFonts w:ascii="Century Gothic" w:hAnsi="Century Gothic"/>
        </w:rPr>
        <w:t>.</w:t>
      </w:r>
    </w:p>
    <w:p w14:paraId="0F9F8AB3" w14:textId="44C49D5E" w:rsidR="00DE0C5A" w:rsidRDefault="00DE0C5A" w:rsidP="00DE0C5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 In caso di parità di punteggio tra due squadre al primo posto del girone</w:t>
      </w:r>
      <w:r w:rsidR="00ED5B8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si disputerà una gara di spareggio</w:t>
      </w:r>
      <w:r w:rsidR="00ED5B89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in campo neutro</w:t>
      </w:r>
      <w:r w:rsidR="00ED5B89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con </w:t>
      </w:r>
      <w:r w:rsidR="00ED5B89">
        <w:rPr>
          <w:rFonts w:ascii="Century Gothic" w:hAnsi="Century Gothic"/>
        </w:rPr>
        <w:t xml:space="preserve">eventuali </w:t>
      </w:r>
      <w:r>
        <w:rPr>
          <w:rFonts w:ascii="Century Gothic" w:hAnsi="Century Gothic"/>
        </w:rPr>
        <w:t xml:space="preserve">tempi supplementari </w:t>
      </w:r>
      <w:r w:rsidR="00ED5B89">
        <w:rPr>
          <w:rFonts w:ascii="Century Gothic" w:hAnsi="Century Gothic"/>
        </w:rPr>
        <w:t xml:space="preserve">(2 temi da 10’ ciascuno) e calci di rigore. </w:t>
      </w:r>
    </w:p>
    <w:p w14:paraId="25062F72" w14:textId="5CA23C4D" w:rsidR="00FD3D9C" w:rsidRPr="00ED5B89" w:rsidRDefault="00ED5B89" w:rsidP="008F2CD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 caso di parità di punteggio tra </w:t>
      </w:r>
      <w:r>
        <w:rPr>
          <w:rFonts w:ascii="Century Gothic" w:hAnsi="Century Gothic"/>
        </w:rPr>
        <w:t>tre o più</w:t>
      </w:r>
      <w:r>
        <w:rPr>
          <w:rFonts w:ascii="Century Gothic" w:hAnsi="Century Gothic"/>
        </w:rPr>
        <w:t xml:space="preserve"> squadre al primo posto del girone si disputerà una gara di spareggio, in campo neutro, con eventuali tempi supplementari (2 temi da 10’ ciascuno) e calci di rigore</w:t>
      </w:r>
      <w:r>
        <w:rPr>
          <w:rFonts w:ascii="Century Gothic" w:hAnsi="Century Gothic"/>
        </w:rPr>
        <w:t>, tra le due squadre meglio classificate della classifica avulsa determinata sulla base dei criteri sopra indicati.</w:t>
      </w:r>
    </w:p>
    <w:p w14:paraId="30C6F9BD" w14:textId="5990D9F3" w:rsidR="000A2A95" w:rsidRPr="008F2CDA" w:rsidRDefault="002B6CBA" w:rsidP="008F2CDA">
      <w:pPr>
        <w:jc w:val="both"/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 xml:space="preserve">Art. </w:t>
      </w:r>
      <w:r w:rsidR="00F446CC" w:rsidRPr="0097365F">
        <w:rPr>
          <w:rFonts w:ascii="Century Gothic" w:hAnsi="Century Gothic"/>
          <w:b/>
          <w:bCs/>
        </w:rPr>
        <w:t>6 Fas</w:t>
      </w:r>
      <w:r w:rsidR="00B20D63" w:rsidRPr="0097365F">
        <w:rPr>
          <w:rFonts w:ascii="Century Gothic" w:hAnsi="Century Gothic"/>
          <w:b/>
          <w:bCs/>
        </w:rPr>
        <w:t>e</w:t>
      </w:r>
      <w:r w:rsidR="00A6082F" w:rsidRPr="0097365F">
        <w:rPr>
          <w:rFonts w:ascii="Century Gothic" w:hAnsi="Century Gothic"/>
          <w:b/>
          <w:bCs/>
        </w:rPr>
        <w:t xml:space="preserve"> Final</w:t>
      </w:r>
      <w:r w:rsidR="00B20D63" w:rsidRPr="0097365F">
        <w:rPr>
          <w:rFonts w:ascii="Century Gothic" w:hAnsi="Century Gothic"/>
          <w:b/>
          <w:bCs/>
        </w:rPr>
        <w:t>e</w:t>
      </w:r>
      <w:r w:rsidR="00A6082F" w:rsidRPr="0097365F">
        <w:rPr>
          <w:rFonts w:ascii="Century Gothic" w:hAnsi="Century Gothic"/>
          <w:b/>
          <w:bCs/>
        </w:rPr>
        <w:t xml:space="preserve"> per determinare la vincente del Campionato Giovanissimi UNDER 14 PROVINCIALE</w:t>
      </w:r>
    </w:p>
    <w:p w14:paraId="5C679057" w14:textId="47D565A7" w:rsidR="000A2A95" w:rsidRDefault="000A2A95" w:rsidP="000A2A9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theme="minorHAnsi"/>
          <w:bCs/>
          <w:color w:val="000000"/>
        </w:rPr>
      </w:pPr>
      <w:r w:rsidRPr="0097365F">
        <w:rPr>
          <w:rFonts w:ascii="Century Gothic" w:hAnsi="Century Gothic" w:cstheme="minorHAnsi"/>
          <w:bCs/>
        </w:rPr>
        <w:t xml:space="preserve">Le prime classificate di ogni girone </w:t>
      </w:r>
      <w:r w:rsidRPr="0097365F">
        <w:rPr>
          <w:rFonts w:ascii="Century Gothic" w:hAnsi="Century Gothic" w:cstheme="minorHAnsi"/>
          <w:bCs/>
          <w:color w:val="000000"/>
        </w:rPr>
        <w:t xml:space="preserve">disputeranno con </w:t>
      </w:r>
      <w:bookmarkStart w:id="0" w:name="_Hlk146708167"/>
      <w:r w:rsidRPr="0097365F">
        <w:rPr>
          <w:rFonts w:ascii="Century Gothic" w:hAnsi="Century Gothic" w:cstheme="minorHAnsi"/>
          <w:bCs/>
          <w:color w:val="000000"/>
        </w:rPr>
        <w:t xml:space="preserve">gara di andata e ritorno </w:t>
      </w:r>
      <w:bookmarkEnd w:id="0"/>
      <w:r w:rsidRPr="0097365F">
        <w:rPr>
          <w:rFonts w:ascii="Century Gothic" w:hAnsi="Century Gothic" w:cstheme="minorHAnsi"/>
          <w:bCs/>
          <w:color w:val="000000"/>
        </w:rPr>
        <w:t xml:space="preserve">la finale per stabilire la squadra campione provinciale. </w:t>
      </w:r>
    </w:p>
    <w:p w14:paraId="4C2EBE43" w14:textId="0E8D3913" w:rsidR="0046299B" w:rsidRPr="0097365F" w:rsidRDefault="0046299B" w:rsidP="0046299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theme="minorHAnsi"/>
          <w:bCs/>
          <w:color w:val="000000"/>
        </w:rPr>
      </w:pPr>
      <w:r w:rsidRPr="0097365F">
        <w:rPr>
          <w:rFonts w:ascii="Century Gothic" w:hAnsi="Century Gothic" w:cstheme="minorHAnsi"/>
          <w:bCs/>
        </w:rPr>
        <w:t xml:space="preserve">Le </w:t>
      </w:r>
      <w:r>
        <w:rPr>
          <w:rFonts w:ascii="Century Gothic" w:hAnsi="Century Gothic" w:cstheme="minorHAnsi"/>
          <w:bCs/>
        </w:rPr>
        <w:t>seconde</w:t>
      </w:r>
      <w:r w:rsidRPr="0097365F">
        <w:rPr>
          <w:rFonts w:ascii="Century Gothic" w:hAnsi="Century Gothic" w:cstheme="minorHAnsi"/>
          <w:bCs/>
        </w:rPr>
        <w:t xml:space="preserve"> classificate di ogni girone </w:t>
      </w:r>
      <w:r w:rsidRPr="0097365F">
        <w:rPr>
          <w:rFonts w:ascii="Century Gothic" w:hAnsi="Century Gothic" w:cstheme="minorHAnsi"/>
          <w:bCs/>
          <w:color w:val="000000"/>
        </w:rPr>
        <w:t>disputeranno</w:t>
      </w:r>
      <w:r>
        <w:rPr>
          <w:rFonts w:ascii="Century Gothic" w:hAnsi="Century Gothic" w:cstheme="minorHAnsi"/>
          <w:bCs/>
          <w:color w:val="000000"/>
        </w:rPr>
        <w:t xml:space="preserve"> con </w:t>
      </w:r>
      <w:r w:rsidRPr="0097365F">
        <w:rPr>
          <w:rFonts w:ascii="Century Gothic" w:hAnsi="Century Gothic" w:cstheme="minorHAnsi"/>
          <w:bCs/>
          <w:color w:val="000000"/>
        </w:rPr>
        <w:t xml:space="preserve">gara di andata e ritorno la finale per stabilire la squadra </w:t>
      </w:r>
      <w:r>
        <w:rPr>
          <w:rFonts w:ascii="Century Gothic" w:hAnsi="Century Gothic" w:cstheme="minorHAnsi"/>
          <w:bCs/>
          <w:color w:val="000000"/>
        </w:rPr>
        <w:t>terza classificata del campionato</w:t>
      </w:r>
      <w:r w:rsidRPr="0097365F">
        <w:rPr>
          <w:rFonts w:ascii="Century Gothic" w:hAnsi="Century Gothic" w:cstheme="minorHAnsi"/>
          <w:bCs/>
          <w:color w:val="000000"/>
        </w:rPr>
        <w:t xml:space="preserve"> provinciale. </w:t>
      </w:r>
    </w:p>
    <w:p w14:paraId="0C193ACA" w14:textId="77777777" w:rsidR="000A2A95" w:rsidRPr="0097365F" w:rsidRDefault="000A2A95" w:rsidP="000A2A9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Cs/>
          <w:color w:val="000000"/>
        </w:rPr>
      </w:pPr>
    </w:p>
    <w:p w14:paraId="3EF1216A" w14:textId="30D17325" w:rsidR="000A2A95" w:rsidRPr="0097365F" w:rsidRDefault="000A2A95" w:rsidP="000A2A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Cs/>
          <w:color w:val="000000"/>
        </w:rPr>
      </w:pPr>
      <w:r w:rsidRPr="0097365F">
        <w:rPr>
          <w:rFonts w:ascii="Century Gothic" w:hAnsi="Century Gothic" w:cstheme="minorHAnsi"/>
          <w:bCs/>
          <w:color w:val="000000"/>
        </w:rPr>
        <w:t>Sarà effettuato a cura della delegazione, un sorteggio per determinare l</w:t>
      </w:r>
      <w:r w:rsidR="0046299B">
        <w:rPr>
          <w:rFonts w:ascii="Century Gothic" w:hAnsi="Century Gothic" w:cstheme="minorHAnsi"/>
          <w:bCs/>
          <w:color w:val="000000"/>
        </w:rPr>
        <w:t>e</w:t>
      </w:r>
      <w:r w:rsidRPr="0097365F">
        <w:rPr>
          <w:rFonts w:ascii="Century Gothic" w:hAnsi="Century Gothic" w:cstheme="minorHAnsi"/>
          <w:bCs/>
          <w:color w:val="000000"/>
        </w:rPr>
        <w:t xml:space="preserve"> squadr</w:t>
      </w:r>
      <w:r w:rsidR="0046299B">
        <w:rPr>
          <w:rFonts w:ascii="Century Gothic" w:hAnsi="Century Gothic" w:cstheme="minorHAnsi"/>
          <w:bCs/>
          <w:color w:val="000000"/>
        </w:rPr>
        <w:t xml:space="preserve">e </w:t>
      </w:r>
      <w:r w:rsidRPr="0097365F">
        <w:rPr>
          <w:rFonts w:ascii="Century Gothic" w:hAnsi="Century Gothic" w:cstheme="minorHAnsi"/>
          <w:bCs/>
          <w:color w:val="000000"/>
        </w:rPr>
        <w:t>che giocher</w:t>
      </w:r>
      <w:r w:rsidR="0046299B">
        <w:rPr>
          <w:rFonts w:ascii="Century Gothic" w:hAnsi="Century Gothic" w:cstheme="minorHAnsi"/>
          <w:bCs/>
          <w:color w:val="000000"/>
        </w:rPr>
        <w:t>anno</w:t>
      </w:r>
      <w:r w:rsidRPr="0097365F">
        <w:rPr>
          <w:rFonts w:ascii="Century Gothic" w:hAnsi="Century Gothic" w:cstheme="minorHAnsi"/>
          <w:bCs/>
          <w:color w:val="000000"/>
        </w:rPr>
        <w:t xml:space="preserve"> la prima gara in casa.</w:t>
      </w:r>
    </w:p>
    <w:p w14:paraId="439BA4AB" w14:textId="77777777" w:rsidR="000A2A95" w:rsidRPr="0097365F" w:rsidRDefault="000A2A95" w:rsidP="000A2A9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2A95" w:rsidRPr="0097365F" w14:paraId="3319EA60" w14:textId="77777777" w:rsidTr="00A83FEF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00B3" w14:textId="77777777" w:rsidR="000A2A95" w:rsidRPr="0097365F" w:rsidRDefault="000A2A95" w:rsidP="000A2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theme="minorHAnsi"/>
                <w:bCs/>
              </w:rPr>
            </w:pPr>
            <w:r w:rsidRPr="0097365F">
              <w:rPr>
                <w:rFonts w:ascii="Century Gothic" w:hAnsi="Century Gothic" w:cstheme="minorHAnsi"/>
                <w:bCs/>
              </w:rPr>
              <w:t>Girone A/B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9EEF" w14:textId="77777777" w:rsidR="000A2A95" w:rsidRPr="0097365F" w:rsidRDefault="000A2A95" w:rsidP="000A2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theme="minorHAnsi"/>
                <w:bCs/>
              </w:rPr>
            </w:pPr>
            <w:r w:rsidRPr="0097365F">
              <w:rPr>
                <w:rFonts w:ascii="Century Gothic" w:hAnsi="Century Gothic" w:cstheme="minorHAnsi"/>
                <w:bCs/>
              </w:rPr>
              <w:t>Girone B/A</w:t>
            </w:r>
          </w:p>
        </w:tc>
      </w:tr>
    </w:tbl>
    <w:p w14:paraId="04413D85" w14:textId="77777777" w:rsidR="000A2A95" w:rsidRPr="0097365F" w:rsidRDefault="000A2A95" w:rsidP="000A2A9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Cs/>
          <w:color w:val="000000"/>
        </w:rPr>
      </w:pPr>
    </w:p>
    <w:p w14:paraId="537E90B9" w14:textId="35C9725E" w:rsidR="0097365F" w:rsidRDefault="000A2A95" w:rsidP="0097365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theme="minorHAnsi"/>
          <w:bCs/>
          <w:color w:val="000000"/>
        </w:rPr>
      </w:pPr>
      <w:r w:rsidRPr="0097365F">
        <w:rPr>
          <w:rFonts w:ascii="Century Gothic" w:hAnsi="Century Gothic" w:cstheme="minorHAnsi"/>
          <w:bCs/>
          <w:color w:val="000000"/>
        </w:rPr>
        <w:t>In caso di parità di punteggio e di reti al termine delle due gare regolamentari si disputeranno due tempi supplementari da 10’ ciascuno</w:t>
      </w:r>
      <w:r w:rsidR="00DE0C5A">
        <w:rPr>
          <w:rFonts w:ascii="Century Gothic" w:hAnsi="Century Gothic" w:cstheme="minorHAnsi"/>
          <w:bCs/>
          <w:color w:val="000000"/>
        </w:rPr>
        <w:t>.</w:t>
      </w:r>
      <w:r w:rsidRPr="0097365F">
        <w:rPr>
          <w:rFonts w:ascii="Century Gothic" w:hAnsi="Century Gothic" w:cstheme="minorHAnsi"/>
          <w:bCs/>
          <w:color w:val="000000"/>
        </w:rPr>
        <w:t xml:space="preserve"> </w:t>
      </w:r>
      <w:r w:rsidR="00DE0C5A">
        <w:rPr>
          <w:rFonts w:ascii="Century Gothic" w:hAnsi="Century Gothic" w:cstheme="minorHAnsi"/>
          <w:bCs/>
          <w:color w:val="000000"/>
        </w:rPr>
        <w:t>I</w:t>
      </w:r>
      <w:r w:rsidRPr="0097365F">
        <w:rPr>
          <w:rFonts w:ascii="Century Gothic" w:hAnsi="Century Gothic" w:cstheme="minorHAnsi"/>
          <w:bCs/>
          <w:color w:val="000000"/>
        </w:rPr>
        <w:t>n caso di ulteriore parità si procederà direttamente all’esecuzione dei tiri di rigore con le modalità stabilite dalla Regola 7 del “Regolamento del Gioco del Calcio”. La squadra vincente delle gare di finale conquisterà il Titolo di “Torneo Provinciale Under 14” per la Provincia di Ravenna.</w:t>
      </w:r>
    </w:p>
    <w:p w14:paraId="17211830" w14:textId="77777777" w:rsidR="0046299B" w:rsidRDefault="0046299B" w:rsidP="0046299B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Century Gothic" w:hAnsi="Century Gothic" w:cstheme="minorHAnsi"/>
          <w:bCs/>
          <w:color w:val="000000"/>
        </w:rPr>
      </w:pPr>
    </w:p>
    <w:p w14:paraId="0983AA69" w14:textId="310A82BA" w:rsidR="0046299B" w:rsidRDefault="0046299B" w:rsidP="0046299B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Century Gothic" w:hAnsi="Century Gothic" w:cstheme="minorHAnsi"/>
          <w:b/>
          <w:color w:val="000000"/>
        </w:rPr>
      </w:pPr>
      <w:r w:rsidRPr="004C7AF9">
        <w:rPr>
          <w:rFonts w:ascii="Century Gothic" w:hAnsi="Century Gothic" w:cstheme="minorHAnsi"/>
          <w:b/>
          <w:color w:val="000000"/>
        </w:rPr>
        <w:t xml:space="preserve">Le squadre classificate al primo (vincitrice finale 1^/2^), secondo (perdente finale 1^/2^) e terzo posto (vincitrice finale 3^/4^ posto) saranno ammesse a partecipare al campionato </w:t>
      </w:r>
      <w:r w:rsidRPr="004C7AF9">
        <w:rPr>
          <w:rFonts w:ascii="Century Gothic" w:hAnsi="Century Gothic" w:cstheme="minorHAnsi"/>
          <w:b/>
          <w:color w:val="000000"/>
        </w:rPr>
        <w:lastRenderedPageBreak/>
        <w:t>UNDER 15 REGIONALE 202</w:t>
      </w:r>
      <w:r w:rsidR="004C7AF9">
        <w:rPr>
          <w:rFonts w:ascii="Century Gothic" w:hAnsi="Century Gothic" w:cstheme="minorHAnsi"/>
          <w:b/>
          <w:color w:val="000000"/>
        </w:rPr>
        <w:t>5</w:t>
      </w:r>
      <w:r w:rsidRPr="004C7AF9">
        <w:rPr>
          <w:rFonts w:ascii="Century Gothic" w:hAnsi="Century Gothic" w:cstheme="minorHAnsi"/>
          <w:b/>
          <w:color w:val="000000"/>
        </w:rPr>
        <w:t>/202</w:t>
      </w:r>
      <w:r w:rsidR="004C7AF9">
        <w:rPr>
          <w:rFonts w:ascii="Century Gothic" w:hAnsi="Century Gothic" w:cstheme="minorHAnsi"/>
          <w:b/>
          <w:color w:val="000000"/>
        </w:rPr>
        <w:t>6</w:t>
      </w:r>
      <w:r w:rsidRPr="004C7AF9">
        <w:rPr>
          <w:rFonts w:ascii="Century Gothic" w:hAnsi="Century Gothic" w:cstheme="minorHAnsi"/>
          <w:b/>
          <w:color w:val="000000"/>
        </w:rPr>
        <w:t>, salvo eventuali preclusioni e/o esclusioni previste dal S.G.S.</w:t>
      </w:r>
      <w:r w:rsidR="00DE0C5A">
        <w:rPr>
          <w:rFonts w:ascii="Century Gothic" w:hAnsi="Century Gothic" w:cstheme="minorHAnsi"/>
          <w:b/>
          <w:color w:val="000000"/>
        </w:rPr>
        <w:t xml:space="preserve"> e/o dal C.R.E.R.</w:t>
      </w:r>
    </w:p>
    <w:p w14:paraId="45B1B3A7" w14:textId="0C97560C" w:rsidR="00DE0C5A" w:rsidRPr="004C7AF9" w:rsidRDefault="00DE0C5A" w:rsidP="0046299B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>Le stesse squadre parteciperanno alla fase finale regionale 2024/2025.</w:t>
      </w:r>
    </w:p>
    <w:p w14:paraId="0CE6C4CA" w14:textId="77777777" w:rsidR="00FD3D9C" w:rsidRDefault="00FD3D9C" w:rsidP="00A97A7A">
      <w:pPr>
        <w:rPr>
          <w:rFonts w:ascii="Century Gothic" w:hAnsi="Century Gothic"/>
          <w:b/>
          <w:bCs/>
        </w:rPr>
      </w:pPr>
    </w:p>
    <w:p w14:paraId="7A9499BB" w14:textId="5B7BAA45" w:rsidR="00A97A7A" w:rsidRPr="0097365F" w:rsidRDefault="00A97A7A" w:rsidP="00A97A7A">
      <w:pPr>
        <w:rPr>
          <w:rFonts w:ascii="Century Gothic" w:hAnsi="Century Gothic"/>
          <w:bCs/>
        </w:rPr>
      </w:pPr>
      <w:r w:rsidRPr="0097365F">
        <w:rPr>
          <w:rFonts w:ascii="Century Gothic" w:hAnsi="Century Gothic"/>
          <w:b/>
          <w:bCs/>
        </w:rPr>
        <w:t>Giustizia</w:t>
      </w:r>
      <w:r w:rsidRPr="0097365F">
        <w:rPr>
          <w:rFonts w:ascii="Century Gothic" w:hAnsi="Century Gothic"/>
          <w:b/>
        </w:rPr>
        <w:t xml:space="preserve"> Sportiva Fase Finale:</w:t>
      </w:r>
      <w:r w:rsidRPr="0097365F">
        <w:rPr>
          <w:rFonts w:ascii="Century Gothic" w:hAnsi="Century Gothic"/>
          <w:bCs/>
        </w:rPr>
        <w:t xml:space="preserve"> limitatamente alle fasi finali, trattandosi di gare di play-off si applica l’art. 19 co. 8 del Codice Giustizia Sportiva:</w:t>
      </w:r>
    </w:p>
    <w:p w14:paraId="31DAA2B4" w14:textId="77777777" w:rsidR="00A97A7A" w:rsidRPr="0097365F" w:rsidRDefault="00A97A7A" w:rsidP="00A97A7A">
      <w:pPr>
        <w:numPr>
          <w:ilvl w:val="0"/>
          <w:numId w:val="10"/>
        </w:numPr>
        <w:ind w:left="567" w:hanging="567"/>
        <w:jc w:val="both"/>
        <w:rPr>
          <w:rFonts w:ascii="Century Gothic" w:hAnsi="Century Gothic"/>
          <w:bCs/>
        </w:rPr>
      </w:pPr>
      <w:r w:rsidRPr="0097365F">
        <w:rPr>
          <w:rFonts w:ascii="Century Gothic" w:hAnsi="Century Gothic"/>
          <w:bCs/>
        </w:rPr>
        <w:t>le   ammonizioni   irrogate   nelle   gare   di campionato, che non abbiano prodotto una squalifica, non hanno efficacia;</w:t>
      </w:r>
    </w:p>
    <w:p w14:paraId="168C24F3" w14:textId="5610E995" w:rsidR="00FD3D9C" w:rsidRPr="0046299B" w:rsidRDefault="00A97A7A" w:rsidP="002B6CBA">
      <w:pPr>
        <w:numPr>
          <w:ilvl w:val="0"/>
          <w:numId w:val="10"/>
        </w:numPr>
        <w:ind w:left="567" w:hanging="567"/>
        <w:jc w:val="both"/>
        <w:rPr>
          <w:rFonts w:ascii="Century Gothic" w:hAnsi="Century Gothic"/>
          <w:bCs/>
        </w:rPr>
      </w:pPr>
      <w:r w:rsidRPr="0097365F">
        <w:rPr>
          <w:rFonts w:ascii="Century Gothic" w:hAnsi="Century Gothic"/>
          <w:bCs/>
        </w:rPr>
        <w:t>la   seconda   ammonizione   e   l’espulsione   determinano   l’automatica squalifica per la gara successiva, salva l’applicazione di più gravi sanzioni disciplinari... omissis... Le sanzioni di squalifica che non possono essere scontate in tutto o in parte nelle gare di play-off play-out devono essere scontate, anche per il solo residuo, nelle eventuali gare di spareggio - promozione previste dall’art. 49 lett. c) punto 1), 24 sesto capoverso NOIF o, nelle altre ipotesi, nel campionato successivo, ai sensi dell’art. 21 co. 6.</w:t>
      </w:r>
    </w:p>
    <w:p w14:paraId="4EE5F950" w14:textId="0C182D3D" w:rsidR="002B6CBA" w:rsidRPr="0097365F" w:rsidRDefault="002B6CBA" w:rsidP="002B6CBA">
      <w:pPr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 xml:space="preserve">Art. </w:t>
      </w:r>
      <w:r w:rsidR="00B84906" w:rsidRPr="0097365F">
        <w:rPr>
          <w:rFonts w:ascii="Century Gothic" w:hAnsi="Century Gothic"/>
          <w:b/>
          <w:bCs/>
        </w:rPr>
        <w:t>7</w:t>
      </w:r>
      <w:r w:rsidR="00D47995" w:rsidRPr="0097365F">
        <w:rPr>
          <w:rFonts w:ascii="Century Gothic" w:hAnsi="Century Gothic"/>
          <w:b/>
          <w:bCs/>
        </w:rPr>
        <w:t xml:space="preserve"> Norma</w:t>
      </w:r>
      <w:r w:rsidRPr="0097365F">
        <w:rPr>
          <w:rFonts w:ascii="Century Gothic" w:hAnsi="Century Gothic"/>
          <w:b/>
          <w:bCs/>
        </w:rPr>
        <w:t xml:space="preserve"> di rinvio.</w:t>
      </w:r>
    </w:p>
    <w:p w14:paraId="4F838CE9" w14:textId="782F1E4A" w:rsidR="00FD3D9C" w:rsidRPr="00906041" w:rsidRDefault="002B6CBA" w:rsidP="00906041">
      <w:pPr>
        <w:spacing w:after="120" w:line="276" w:lineRule="auto"/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>Per quanto non contemplato dal presente Regolamento valgono le disposizioni dei regolamenti federali e quelle del Comunicato Ufficiale SGS n. 1</w:t>
      </w:r>
      <w:r w:rsidR="00A61810" w:rsidRPr="00B61259">
        <w:rPr>
          <w:rFonts w:ascii="Century Gothic" w:hAnsi="Century Gothic"/>
        </w:rPr>
        <w:t>, del C.U. n. 1 del 0</w:t>
      </w:r>
      <w:r w:rsidR="00A61810">
        <w:rPr>
          <w:rFonts w:ascii="Century Gothic" w:hAnsi="Century Gothic"/>
        </w:rPr>
        <w:t>5</w:t>
      </w:r>
      <w:r w:rsidR="00A61810" w:rsidRPr="00B61259">
        <w:rPr>
          <w:rFonts w:ascii="Century Gothic" w:hAnsi="Century Gothic"/>
        </w:rPr>
        <w:t>.07.202</w:t>
      </w:r>
      <w:r w:rsidR="00A61810">
        <w:rPr>
          <w:rFonts w:ascii="Century Gothic" w:hAnsi="Century Gothic"/>
        </w:rPr>
        <w:t>4</w:t>
      </w:r>
      <w:r w:rsidR="00A61810" w:rsidRPr="00B61259">
        <w:rPr>
          <w:rFonts w:ascii="Century Gothic" w:hAnsi="Century Gothic"/>
        </w:rPr>
        <w:t xml:space="preserve"> del C.R.E.R. </w:t>
      </w:r>
      <w:r w:rsidR="00A61810">
        <w:rPr>
          <w:rFonts w:ascii="Century Gothic" w:hAnsi="Century Gothic"/>
        </w:rPr>
        <w:t>e del C.U. n. 2</w:t>
      </w:r>
      <w:r w:rsidR="00906041">
        <w:rPr>
          <w:rFonts w:ascii="Century Gothic" w:hAnsi="Century Gothic"/>
        </w:rPr>
        <w:t xml:space="preserve">0 </w:t>
      </w:r>
      <w:r w:rsidR="00A61810">
        <w:rPr>
          <w:rFonts w:ascii="Century Gothic" w:hAnsi="Century Gothic"/>
        </w:rPr>
        <w:t xml:space="preserve">del </w:t>
      </w:r>
      <w:r w:rsidR="00906041">
        <w:rPr>
          <w:rFonts w:ascii="Century Gothic" w:hAnsi="Century Gothic"/>
        </w:rPr>
        <w:t xml:space="preserve">30.08.2024 e ss.mm. del </w:t>
      </w:r>
      <w:r w:rsidR="00A61810">
        <w:rPr>
          <w:rFonts w:ascii="Century Gothic" w:hAnsi="Century Gothic"/>
        </w:rPr>
        <w:t>C.R.E.R..</w:t>
      </w:r>
    </w:p>
    <w:p w14:paraId="238D038B" w14:textId="19724310" w:rsidR="002B6CBA" w:rsidRPr="0097365F" w:rsidRDefault="002B6CBA" w:rsidP="002B6CBA">
      <w:pPr>
        <w:rPr>
          <w:rFonts w:ascii="Century Gothic" w:hAnsi="Century Gothic"/>
          <w:b/>
          <w:bCs/>
        </w:rPr>
      </w:pPr>
      <w:r w:rsidRPr="0097365F">
        <w:rPr>
          <w:rFonts w:ascii="Century Gothic" w:hAnsi="Century Gothic"/>
          <w:b/>
          <w:bCs/>
        </w:rPr>
        <w:t xml:space="preserve">Art. </w:t>
      </w:r>
      <w:r w:rsidR="00B84906" w:rsidRPr="0097365F">
        <w:rPr>
          <w:rFonts w:ascii="Century Gothic" w:hAnsi="Century Gothic"/>
          <w:b/>
          <w:bCs/>
        </w:rPr>
        <w:t>8</w:t>
      </w:r>
      <w:r w:rsidRPr="0097365F">
        <w:rPr>
          <w:rFonts w:ascii="Century Gothic" w:hAnsi="Century Gothic"/>
          <w:b/>
          <w:bCs/>
        </w:rPr>
        <w:t xml:space="preserve"> Norme Generali</w:t>
      </w:r>
    </w:p>
    <w:p w14:paraId="73CDADF4" w14:textId="257A0FFA" w:rsidR="007133B1" w:rsidRPr="0097365F" w:rsidRDefault="002B6CBA" w:rsidP="00D47995">
      <w:pPr>
        <w:jc w:val="both"/>
        <w:rPr>
          <w:rFonts w:ascii="Century Gothic" w:hAnsi="Century Gothic"/>
        </w:rPr>
      </w:pPr>
      <w:r w:rsidRPr="0097365F">
        <w:rPr>
          <w:rFonts w:ascii="Century Gothic" w:hAnsi="Century Gothic"/>
        </w:rPr>
        <w:t xml:space="preserve">Il presente regolamento potrà essere modificato nel corso della stagione a descrizione e insindacabile giudizio della Delegazione di </w:t>
      </w:r>
      <w:r w:rsidR="00FB1819">
        <w:rPr>
          <w:rFonts w:ascii="Century Gothic" w:hAnsi="Century Gothic"/>
        </w:rPr>
        <w:t>Ravenna</w:t>
      </w:r>
      <w:r w:rsidRPr="0097365F">
        <w:rPr>
          <w:rFonts w:ascii="Century Gothic" w:hAnsi="Century Gothic"/>
        </w:rPr>
        <w:t xml:space="preserve"> con apposito documento</w:t>
      </w:r>
      <w:r w:rsidR="00D47995" w:rsidRPr="0097365F">
        <w:rPr>
          <w:rFonts w:ascii="Century Gothic" w:hAnsi="Century Gothic"/>
        </w:rPr>
        <w:t xml:space="preserve"> che verrà pubblicato ne</w:t>
      </w:r>
      <w:r w:rsidR="00B84906" w:rsidRPr="0097365F">
        <w:rPr>
          <w:rFonts w:ascii="Century Gothic" w:hAnsi="Century Gothic"/>
        </w:rPr>
        <w:t>i</w:t>
      </w:r>
      <w:r w:rsidR="00D47995" w:rsidRPr="0097365F">
        <w:rPr>
          <w:rFonts w:ascii="Century Gothic" w:hAnsi="Century Gothic"/>
        </w:rPr>
        <w:t xml:space="preserve"> Comunicat</w:t>
      </w:r>
      <w:r w:rsidR="00B84906" w:rsidRPr="0097365F">
        <w:rPr>
          <w:rFonts w:ascii="Century Gothic" w:hAnsi="Century Gothic"/>
        </w:rPr>
        <w:t>i</w:t>
      </w:r>
      <w:r w:rsidR="00D47995" w:rsidRPr="0097365F">
        <w:rPr>
          <w:rFonts w:ascii="Century Gothic" w:hAnsi="Century Gothic"/>
        </w:rPr>
        <w:t xml:space="preserve"> Ufficial</w:t>
      </w:r>
      <w:r w:rsidR="00B84906" w:rsidRPr="0097365F">
        <w:rPr>
          <w:rFonts w:ascii="Century Gothic" w:hAnsi="Century Gothic"/>
        </w:rPr>
        <w:t>i.</w:t>
      </w:r>
    </w:p>
    <w:sectPr w:rsidR="007133B1" w:rsidRPr="0097365F" w:rsidSect="00FD3D9C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0480"/>
    <w:multiLevelType w:val="hybridMultilevel"/>
    <w:tmpl w:val="7FF2FE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357"/>
    <w:multiLevelType w:val="hybridMultilevel"/>
    <w:tmpl w:val="F2F691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714C"/>
    <w:multiLevelType w:val="hybridMultilevel"/>
    <w:tmpl w:val="A5B240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3152"/>
    <w:multiLevelType w:val="hybridMultilevel"/>
    <w:tmpl w:val="48C40AF4"/>
    <w:lvl w:ilvl="0" w:tplc="41A237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2628D"/>
    <w:multiLevelType w:val="hybridMultilevel"/>
    <w:tmpl w:val="0A166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E1C"/>
    <w:multiLevelType w:val="hybridMultilevel"/>
    <w:tmpl w:val="C576EB54"/>
    <w:lvl w:ilvl="0" w:tplc="43B626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05473"/>
    <w:multiLevelType w:val="hybridMultilevel"/>
    <w:tmpl w:val="1742A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55C1C"/>
    <w:multiLevelType w:val="hybridMultilevel"/>
    <w:tmpl w:val="E18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72B37"/>
    <w:multiLevelType w:val="hybridMultilevel"/>
    <w:tmpl w:val="609CBFA8"/>
    <w:lvl w:ilvl="0" w:tplc="C2142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50F9B"/>
    <w:multiLevelType w:val="hybridMultilevel"/>
    <w:tmpl w:val="D2489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62A66"/>
    <w:multiLevelType w:val="hybridMultilevel"/>
    <w:tmpl w:val="B0CE66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6215659">
    <w:abstractNumId w:val="0"/>
  </w:num>
  <w:num w:numId="2" w16cid:durableId="581723391">
    <w:abstractNumId w:val="5"/>
  </w:num>
  <w:num w:numId="3" w16cid:durableId="1223517782">
    <w:abstractNumId w:val="6"/>
  </w:num>
  <w:num w:numId="4" w16cid:durableId="934048304">
    <w:abstractNumId w:val="7"/>
  </w:num>
  <w:num w:numId="5" w16cid:durableId="1773698481">
    <w:abstractNumId w:val="2"/>
  </w:num>
  <w:num w:numId="6" w16cid:durableId="1386292834">
    <w:abstractNumId w:val="8"/>
  </w:num>
  <w:num w:numId="7" w16cid:durableId="1166096287">
    <w:abstractNumId w:val="1"/>
  </w:num>
  <w:num w:numId="8" w16cid:durableId="205871010">
    <w:abstractNumId w:val="4"/>
  </w:num>
  <w:num w:numId="9" w16cid:durableId="948703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0518002">
    <w:abstractNumId w:val="10"/>
  </w:num>
  <w:num w:numId="11" w16cid:durableId="2038770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BA"/>
    <w:rsid w:val="000A2A95"/>
    <w:rsid w:val="00171182"/>
    <w:rsid w:val="001932BC"/>
    <w:rsid w:val="001A5210"/>
    <w:rsid w:val="002B6CBA"/>
    <w:rsid w:val="00377AF6"/>
    <w:rsid w:val="003B5D8A"/>
    <w:rsid w:val="003C1BFB"/>
    <w:rsid w:val="0046299B"/>
    <w:rsid w:val="00472CE1"/>
    <w:rsid w:val="00484968"/>
    <w:rsid w:val="004A7F2E"/>
    <w:rsid w:val="004C7AF9"/>
    <w:rsid w:val="00565EC0"/>
    <w:rsid w:val="005D1EB8"/>
    <w:rsid w:val="00667109"/>
    <w:rsid w:val="00692D47"/>
    <w:rsid w:val="006D681E"/>
    <w:rsid w:val="007133B1"/>
    <w:rsid w:val="007465E2"/>
    <w:rsid w:val="00806EFD"/>
    <w:rsid w:val="008B5357"/>
    <w:rsid w:val="008F2CDA"/>
    <w:rsid w:val="00906041"/>
    <w:rsid w:val="00933D95"/>
    <w:rsid w:val="0097365F"/>
    <w:rsid w:val="009D6410"/>
    <w:rsid w:val="00A6082F"/>
    <w:rsid w:val="00A61810"/>
    <w:rsid w:val="00A97A7A"/>
    <w:rsid w:val="00B20D63"/>
    <w:rsid w:val="00B2619E"/>
    <w:rsid w:val="00B263DA"/>
    <w:rsid w:val="00B2701F"/>
    <w:rsid w:val="00B84906"/>
    <w:rsid w:val="00BE4232"/>
    <w:rsid w:val="00C42B21"/>
    <w:rsid w:val="00C51C31"/>
    <w:rsid w:val="00CB4718"/>
    <w:rsid w:val="00CC25A2"/>
    <w:rsid w:val="00CF0266"/>
    <w:rsid w:val="00D22701"/>
    <w:rsid w:val="00D47995"/>
    <w:rsid w:val="00DC2D33"/>
    <w:rsid w:val="00DE0C5A"/>
    <w:rsid w:val="00ED5B89"/>
    <w:rsid w:val="00ED652A"/>
    <w:rsid w:val="00F446CC"/>
    <w:rsid w:val="00F871D4"/>
    <w:rsid w:val="00FB1819"/>
    <w:rsid w:val="00FD2CAE"/>
    <w:rsid w:val="00FD3D9C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EDA9"/>
  <w15:chartTrackingRefBased/>
  <w15:docId w15:val="{65B0E662-0AB0-434D-930E-A8A72051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Arduini</dc:creator>
  <cp:keywords/>
  <dc:description/>
  <cp:lastModifiedBy>Tiziana Gruosso</cp:lastModifiedBy>
  <cp:revision>5</cp:revision>
  <cp:lastPrinted>2022-11-23T09:21:00Z</cp:lastPrinted>
  <dcterms:created xsi:type="dcterms:W3CDTF">2024-09-20T17:23:00Z</dcterms:created>
  <dcterms:modified xsi:type="dcterms:W3CDTF">2024-09-25T15:36:00Z</dcterms:modified>
</cp:coreProperties>
</file>